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504ED"/>
          <w:sz w:val="28"/>
          <w:szCs w:val="28"/>
        </w:rPr>
        <w:t xml:space="preserve">mena</w:t>
      </w:r>
    </w:p>
    <w:p>
      <w:pPr>
        <w:spacing w:after="60" w:before="200"/>
        <w:jc w:val="left"/>
      </w:pPr>
      <w:r>
        <w:rPr>
          <w:rFonts w:ascii="Calibri" w:cs="Calibri" w:eastAsia="Calibri" w:hAnsi="Calibri"/>
          <w:b/>
          <w:bCs/>
          <w:color w:val="1A1A2E"/>
          <w:sz w:val="44"/>
          <w:szCs w:val="44"/>
        </w:rPr>
        <w:t xml:space="preserve">Consentimiento del paciente</w:t>
      </w:r>
    </w:p>
    <w:p>
      <w:pPr>
        <w:spacing w:after="40"/>
        <w:jc w:val="left"/>
      </w:pPr>
      <w:r>
        <w:rPr>
          <w:rFonts w:ascii="Calibri" w:cs="Calibri" w:eastAsia="Calibri" w:hAnsi="Calibri"/>
          <w:color w:val="8888AA"/>
          <w:sz w:val="20"/>
          <w:szCs w:val="20"/>
        </w:rPr>
        <w:t xml:space="preserve">Uso de documentación asistida por inteligencia artificial durante su consulta</w:t>
      </w:r>
    </w:p>
    <w:p>
      <w:pPr>
        <w:pBdr>
          <w:bottom w:val="single" w:color="0504ED" w:sz="6" w:space="1"/>
        </w:pBdr>
        <w:spacing w:after="200" w:before="60"/>
      </w:pPr>
    </w:p>
    <w:p>
      <w:pPr>
        <w:spacing w:after="160"/>
        <w:jc w:val="left"/>
      </w:pPr>
      <w:r>
        <w:rPr>
          <w:color w:val="1A1A2E"/>
          <w:sz w:val="19"/>
          <w:szCs w:val="19"/>
        </w:rPr>
        <w:t xml:space="preserve">Su médico utiliza Mena, una herramienta asistida por inteligencia artificial que graba la conversación durante su consulta, la transcribe y genera un borrador de las notas clínicas. Su médico revisa y aprueba todo antes de que forme parte de su historial médico.</w:t>
      </w:r>
    </w:p>
    <w:p>
      <w:pPr>
        <w:spacing w:after="100" w:before="200"/>
        <w:jc w:val="left"/>
      </w:pPr>
      <w:r>
        <w:rPr>
          <w:b/>
          <w:bCs/>
          <w:color w:val="1A1A2E"/>
          <w:sz w:val="22"/>
          <w:szCs w:val="22"/>
        </w:rPr>
        <w:t xml:space="preserve">Qué se registra</w:t>
      </w:r>
    </w:p>
    <w:p>
      <w:pPr>
        <w:spacing w:after="60"/>
        <w:ind w:left="340" w:hanging="227"/>
        <w:jc w:val="left"/>
      </w:pPr>
      <w:r>
        <w:rPr>
          <w:color w:val="0504ED"/>
          <w:sz w:val="19"/>
          <w:szCs w:val="19"/>
        </w:rPr>
        <w:t xml:space="preserve">–  </w:t>
      </w:r>
      <w:r>
        <w:rPr>
          <w:color w:val="1A1A2E"/>
          <w:sz w:val="19"/>
          <w:szCs w:val="19"/>
        </w:rPr>
        <w:t xml:space="preserve">Audio de su consulta (utilizado para el procesamiento y gestionado conforme a la política de retención de su consulta médica)</w:t>
      </w:r>
    </w:p>
    <w:p>
      <w:pPr>
        <w:spacing w:after="60"/>
        <w:ind w:left="340" w:hanging="227"/>
        <w:jc w:val="left"/>
      </w:pPr>
      <w:r>
        <w:rPr>
          <w:color w:val="0504ED"/>
          <w:sz w:val="19"/>
          <w:szCs w:val="19"/>
        </w:rPr>
        <w:t xml:space="preserve">–  </w:t>
      </w:r>
      <w:r>
        <w:rPr>
          <w:color w:val="1A1A2E"/>
          <w:sz w:val="19"/>
          <w:szCs w:val="19"/>
        </w:rPr>
        <w:t xml:space="preserve">Una transcripción escrita de la conversación</w:t>
      </w:r>
    </w:p>
    <w:p>
      <w:pPr>
        <w:spacing w:after="60"/>
        <w:ind w:left="340" w:hanging="227"/>
        <w:jc w:val="left"/>
      </w:pPr>
      <w:r>
        <w:rPr>
          <w:color w:val="0504ED"/>
          <w:sz w:val="19"/>
          <w:szCs w:val="19"/>
        </w:rPr>
        <w:t xml:space="preserve">–  </w:t>
      </w:r>
      <w:r>
        <w:rPr>
          <w:color w:val="1A1A2E"/>
          <w:sz w:val="19"/>
          <w:szCs w:val="19"/>
        </w:rPr>
        <w:t xml:space="preserve">Notas clínicas estructuradas (p. ej., antecedentes, hallazgos, evaluación, plan)</w:t>
      </w:r>
    </w:p>
    <w:p>
      <w:pPr>
        <w:spacing w:after="60"/>
        <w:ind w:left="340" w:hanging="227"/>
        <w:jc w:val="left"/>
      </w:pPr>
      <w:r>
        <w:rPr>
          <w:color w:val="0504ED"/>
          <w:sz w:val="19"/>
          <w:szCs w:val="19"/>
        </w:rPr>
        <w:t xml:space="preserve">–  </w:t>
      </w:r>
      <w:r>
        <w:rPr>
          <w:color w:val="1A1A2E"/>
          <w:sz w:val="19"/>
          <w:szCs w:val="19"/>
        </w:rPr>
        <w:t xml:space="preserve">Su nombre y fecha de nacimiento</w:t>
      </w:r>
    </w:p>
    <w:p>
      <w:pPr>
        <w:spacing w:after="80" w:before="0"/>
      </w:pPr>
    </w:p>
    <w:p>
      <w:pPr>
        <w:spacing w:after="100" w:before="160"/>
        <w:jc w:val="left"/>
      </w:pPr>
      <w:r>
        <w:rPr>
          <w:b/>
          <w:bCs/>
          <w:color w:val="1A1A2E"/>
          <w:sz w:val="22"/>
          <w:szCs w:val="22"/>
        </w:rPr>
        <w:t xml:space="preserve">Cómo se gestionan sus datos</w:t>
      </w:r>
    </w:p>
    <w:p>
      <w:pPr>
        <w:spacing w:after="60"/>
        <w:ind w:left="340" w:hanging="227"/>
        <w:jc w:val="left"/>
      </w:pPr>
      <w:r>
        <w:rPr>
          <w:color w:val="0504ED"/>
          <w:sz w:val="19"/>
          <w:szCs w:val="19"/>
        </w:rPr>
        <w:t xml:space="preserve">–  </w:t>
      </w:r>
      <w:r>
        <w:rPr>
          <w:color w:val="1A1A2E"/>
          <w:sz w:val="19"/>
          <w:szCs w:val="19"/>
        </w:rPr>
        <w:t xml:space="preserve">Todos los datos se cifran en tránsito y en reposo</w:t>
      </w:r>
    </w:p>
    <w:p>
      <w:pPr>
        <w:spacing w:after="60"/>
        <w:ind w:left="340" w:hanging="227"/>
        <w:jc w:val="left"/>
      </w:pPr>
      <w:r>
        <w:rPr>
          <w:color w:val="0504ED"/>
          <w:sz w:val="19"/>
          <w:szCs w:val="19"/>
        </w:rPr>
        <w:t xml:space="preserve">–  </w:t>
      </w:r>
      <w:r>
        <w:rPr>
          <w:color w:val="1A1A2E"/>
          <w:sz w:val="19"/>
          <w:szCs w:val="19"/>
        </w:rPr>
        <w:t xml:space="preserve">Solo su médico y el personal autorizado de la consulta pueden acceder a ellos</w:t>
      </w:r>
    </w:p>
    <w:p>
      <w:pPr>
        <w:spacing w:after="60"/>
        <w:ind w:left="340" w:hanging="227"/>
        <w:jc w:val="left"/>
      </w:pPr>
      <w:r>
        <w:rPr>
          <w:color w:val="0504ED"/>
          <w:sz w:val="19"/>
          <w:szCs w:val="19"/>
        </w:rPr>
        <w:t xml:space="preserve">–  </w:t>
      </w:r>
      <w:r>
        <w:rPr>
          <w:color w:val="1A1A2E"/>
          <w:sz w:val="19"/>
          <w:szCs w:val="19"/>
        </w:rPr>
        <w:t xml:space="preserve">Mena no utiliza sus datos para entrenar modelos de inteligencia artificial</w:t>
      </w:r>
    </w:p>
    <w:p>
      <w:pPr>
        <w:spacing w:after="60"/>
        <w:ind w:left="340" w:hanging="227"/>
        <w:jc w:val="left"/>
      </w:pPr>
      <w:r>
        <w:rPr>
          <w:color w:val="0504ED"/>
          <w:sz w:val="19"/>
          <w:szCs w:val="19"/>
        </w:rPr>
        <w:t xml:space="preserve">–  </w:t>
      </w:r>
      <w:r>
        <w:rPr>
          <w:color w:val="1A1A2E"/>
          <w:sz w:val="19"/>
          <w:szCs w:val="19"/>
        </w:rPr>
        <w:t xml:space="preserve">Un acuerdo de tratamiento de datos regula cómo Mena gestiona los datos en nombre de su consulta médica</w:t>
      </w:r>
    </w:p>
    <w:p>
      <w:pPr>
        <w:spacing w:after="80" w:before="0"/>
      </w:pPr>
    </w:p>
    <w:p>
      <w:pPr>
        <w:spacing w:after="100" w:before="160"/>
        <w:jc w:val="left"/>
      </w:pPr>
      <w:r>
        <w:rPr>
          <w:b/>
          <w:bCs/>
          <w:color w:val="1A1A2E"/>
          <w:sz w:val="22"/>
          <w:szCs w:val="22"/>
        </w:rPr>
        <w:t xml:space="preserve">Su decisión</w:t>
      </w:r>
    </w:p>
    <w:p>
      <w:pPr>
        <w:spacing w:after="100"/>
        <w:jc w:val="left"/>
      </w:pPr>
      <w:r>
        <w:rPr>
          <w:color w:val="1A1A2E"/>
          <w:sz w:val="19"/>
          <w:szCs w:val="19"/>
        </w:rPr>
        <w:t xml:space="preserve">Su consentimiento es voluntario. Negarse no afectará en absoluto la calidad de su atención médica. En ese caso, su consulta se documentará de forma manual. Puede cambiar de opinión en cualquier momento comunicándoselo a su consulta médica.</w:t>
      </w:r>
    </w:p>
    <w:p>
      <w:pPr>
        <w:spacing w:after="40" w:before="0"/>
      </w:pPr>
    </w:p>
    <w:p>
      <w:pPr>
        <w:pBdr>
          <w:bottom w:val="single" w:color="0504ED" w:sz="6" w:space="1"/>
        </w:pBdr>
        <w:spacing w:after="160" w:before="40"/>
      </w:pPr>
    </w:p>
    <w:p>
      <w:pPr>
        <w:spacing w:after="120" w:before="120"/>
        <w:ind w:left="340" w:hanging="340"/>
        <w:jc w:val="left"/>
      </w:pPr>
      <w:r>
        <w:rPr>
          <w:color w:val="1A1A2E"/>
          <w:sz w:val="22"/>
          <w:szCs w:val="22"/>
        </w:rPr>
        <w:t xml:space="preserve">☐  </w:t>
      </w:r>
      <w:r>
        <w:rPr>
          <w:b/>
          <w:bCs/>
          <w:color w:val="1A1A2E"/>
          <w:sz w:val="20"/>
          <w:szCs w:val="20"/>
        </w:rPr>
        <w:t xml:space="preserve">Sí</w:t>
      </w:r>
      <w:r>
        <w:rPr>
          <w:color w:val="1A1A2E"/>
          <w:sz w:val="20"/>
          <w:szCs w:val="20"/>
        </w:rPr>
        <w:t xml:space="preserve">, doy mi consentimiento para el uso de Mena durante mis consultas. Entiendo que la conversación será grabada, transcrita y utilizada para elaborar la documentación clínica.</w:t>
      </w:r>
    </w:p>
    <w:p>
      <w:pPr>
        <w:spacing w:after="120" w:before="120"/>
        <w:ind w:left="340" w:hanging="340"/>
        <w:jc w:val="left"/>
      </w:pPr>
      <w:r>
        <w:rPr>
          <w:color w:val="1A1A2E"/>
          <w:sz w:val="22"/>
          <w:szCs w:val="22"/>
        </w:rPr>
        <w:t xml:space="preserve">☐  </w:t>
      </w:r>
      <w:r>
        <w:rPr>
          <w:b/>
          <w:bCs/>
          <w:color w:val="1A1A2E"/>
          <w:sz w:val="20"/>
          <w:szCs w:val="20"/>
        </w:rPr>
        <w:t xml:space="preserve">No</w:t>
      </w:r>
      <w:r>
        <w:rPr>
          <w:color w:val="1A1A2E"/>
          <w:sz w:val="20"/>
          <w:szCs w:val="20"/>
        </w:rPr>
        <w:t xml:space="preserve">, no doy mi consentimiento. Deseo que mis consultas se documenten sin el uso de Mena.</w:t>
      </w:r>
    </w:p>
    <w:p>
      <w:pPr>
        <w:spacing w:after="200" w:before="0"/>
      </w:pPr>
    </w:p>
    <w:tbl>
      <w:tblPr>
        <w:tblW w:type="dxa" w:w="9640"/>
        <w:tblBorders>
          <w:top w:val="none" w:sz="0"/>
          <w:left w:val="none" w:sz="0"/>
          <w:bottom w:val="none" w:sz="0"/>
          <w:right w:val="none" w:sz="0"/>
          <w:insideH w:val="none" w:sz="0"/>
          <w:insideV w:val="none" w:sz="0"/>
        </w:tblBorders>
      </w:tblPr>
      <w:tblGrid>
        <w:gridCol w:w="5800"/>
        <w:gridCol w:w="400"/>
        <w:gridCol w:w="3440"/>
      </w:tblGrid>
      <w:tr>
        <w:tc>
          <w:tcPr>
            <w:tcW w:type="dxa" w:w="580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Nombre:  </w:t>
            </w:r>
            <w:r>
              <w:rPr>
                <w:color w:val="8888AA"/>
                <w:sz w:val="19"/>
                <w:szCs w:val="19"/>
              </w:rPr>
              <w:t xml:space="preserve">____________________________________________</w:t>
            </w:r>
          </w:p>
        </w:tc>
        <w:tc>
          <w:tcPr>
            <w:tcW w:type="dxa" w:w="400"/>
            <w:tcBorders>
              <w:top w:val="none"/>
              <w:left w:val="none"/>
              <w:bottom w:val="none"/>
              <w:right w:val="none"/>
            </w:tcBorders>
            <w:tcMar>
              <w:top w:type="dxa" w:w="0"/>
              <w:left w:type="dxa" w:w="0"/>
              <w:bottom w:type="dxa" w:w="0"/>
              <w:right w:type="dxa" w:w="0"/>
            </w:tcMar>
          </w:tcPr>
          <w:p/>
        </w:tc>
        <w:tc>
          <w:tcPr>
            <w:tcW w:type="dxa" w:w="344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Fecha:  </w:t>
            </w:r>
            <w:r>
              <w:rPr>
                <w:color w:val="8888AA"/>
                <w:sz w:val="19"/>
                <w:szCs w:val="19"/>
              </w:rPr>
              <w:t xml:space="preserve">________________________</w:t>
            </w:r>
          </w:p>
        </w:tc>
      </w:tr>
    </w:tbl>
    <w:p>
      <w:pPr>
        <w:spacing w:after="60" w:before="0"/>
      </w:pPr>
    </w:p>
    <w:p>
      <w:pPr>
        <w:spacing w:after="100" w:before="100"/>
      </w:pPr>
      <w:r>
        <w:rPr>
          <w:b/>
          <w:bCs/>
          <w:color w:val="444466"/>
          <w:sz w:val="19"/>
          <w:szCs w:val="19"/>
        </w:rPr>
        <w:t xml:space="preserve">Firma:  </w:t>
      </w:r>
      <w:r>
        <w:rPr>
          <w:color w:val="8888AA"/>
          <w:sz w:val="19"/>
          <w:szCs w:val="19"/>
        </w:rPr>
        <w:t xml:space="preserve">________________________________________________________________________</w:t>
      </w:r>
    </w:p>
    <w:p>
      <w:pPr>
        <w:spacing w:after="200" w:before="0"/>
      </w:pPr>
    </w:p>
    <w:p>
      <w:pPr>
        <w:pBdr>
          <w:bottom w:val="single" w:color="CCCCCC" w:sz="4" w:space="1"/>
        </w:pBdr>
        <w:spacing w:after="20" w:before="20"/>
      </w:pPr>
    </w:p>
    <w:p>
      <w:pPr>
        <w:spacing w:after="20" w:before="0"/>
      </w:pPr>
    </w:p>
    <w:p>
      <w:pPr>
        <w:spacing w:after="0"/>
        <w:jc w:val="center"/>
      </w:pPr>
      <w:r>
        <w:rPr>
          <w:color w:val="8888AA"/>
          <w:sz w:val="16"/>
          <w:szCs w:val="16"/>
        </w:rPr>
        <w:t xml:space="preserve">Mena Health GmbH  ·  Baarerstrasse 25, 6300 Zug, Switzerland  ·  menahealth.com</w:t>
      </w:r>
    </w:p>
    <w:sectPr>
      <w:pgSz w:w="12240" w:h="15840" w:orient="portrait"/>
      <w:pgMar w:top="1100" w:right="1300" w:bottom="9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2026-08-10T12:52:23.742Z</dcterms:created>
  <dcterms:modified xsi:type="dcterms:W3CDTF">2026-08-10T12:52:23.742Z</dcterms:modified>
</cp:coreProperties>
</file>

<file path=docProps/custom.xml><?xml version="1.0" encoding="utf-8"?>
<Properties xmlns="http://schemas.openxmlformats.org/officeDocument/2006/custom-properties" xmlns:vt="http://schemas.openxmlformats.org/officeDocument/2006/docPropsVTypes"/>
</file>