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504ED"/>
          <w:sz w:val="28"/>
          <w:szCs w:val="28"/>
        </w:rPr>
        <w:t xml:space="preserve">mena</w:t>
      </w:r>
    </w:p>
    <w:p>
      <w:pPr>
        <w:spacing w:after="60" w:before="200"/>
        <w:jc w:val="left"/>
      </w:pPr>
      <w:r>
        <w:rPr>
          <w:rFonts w:ascii="Calibri" w:cs="Calibri" w:eastAsia="Calibri" w:hAnsi="Calibri"/>
          <w:b/>
          <w:bCs/>
          <w:color w:val="1A1A2E"/>
          <w:sz w:val="44"/>
          <w:szCs w:val="44"/>
        </w:rPr>
        <w:t xml:space="preserve">Pahintulot ng Pasyente</w:t>
      </w:r>
    </w:p>
    <w:p>
      <w:pPr>
        <w:spacing w:after="40"/>
        <w:jc w:val="left"/>
      </w:pPr>
      <w:r>
        <w:rPr>
          <w:rFonts w:ascii="Calibri" w:cs="Calibri" w:eastAsia="Calibri" w:hAnsi="Calibri"/>
          <w:color w:val="8888AA"/>
          <w:sz w:val="20"/>
          <w:szCs w:val="20"/>
        </w:rPr>
        <w:t xml:space="preserve">Paggamit ng AI-assisted na dokumentasyon sa iyong konsultasyon</w:t>
      </w:r>
    </w:p>
    <w:p>
      <w:pPr>
        <w:pBdr>
          <w:bottom w:val="single" w:color="0504ED" w:sz="6" w:space="1"/>
        </w:pBdr>
        <w:spacing w:after="200" w:before="60"/>
      </w:pPr>
    </w:p>
    <w:p>
      <w:pPr>
        <w:spacing w:after="160"/>
        <w:jc w:val="left"/>
      </w:pPr>
      <w:r>
        <w:rPr>
          <w:color w:val="1A1A2E"/>
          <w:sz w:val="19"/>
          <w:szCs w:val="19"/>
        </w:rPr>
        <w:t xml:space="preserve">Gumagamit ang iyong doktor ng Mena, isang tool na tinulungan ng artificial intelligence na nagre-record ng usapan sa iyong konsultasyon, nagta-transcribe nito, at gumagawa ng draft ng clinical notes. Sinusuri at inaaprobahan ng iyong doktor ang lahat bago ito maging bahagi ng iyong medical record.</w:t>
      </w:r>
    </w:p>
    <w:p>
      <w:pPr>
        <w:spacing w:after="100" w:before="200"/>
        <w:jc w:val="left"/>
      </w:pPr>
      <w:r>
        <w:rPr>
          <w:b/>
          <w:bCs/>
          <w:color w:val="1A1A2E"/>
          <w:sz w:val="22"/>
          <w:szCs w:val="22"/>
        </w:rPr>
        <w:t xml:space="preserve">Ano ang nire-record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Audio ng iyong konsultasyon (ginagamit para sa processing, pagkatapos ay pinamamahalaan ayon sa retention policy ng iyong klinika)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Nakasulat na transcript ng usapan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Structured na clinical notes (hal. kasaysayang medikal, mga natuklasan, pagsusuri, plano)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Ang iyong pangalan at petsa ng kapanganakan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Paano pinangangasiwaan ang iyong data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Lahat ng data ay naka-encrypt sa pagpapadala at sa pag-iimbak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Ang iyong doktor at awtorisadong kawani lamang ng klinika ang may access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Hindi ginagamit ng Mena ang iyong data para sa pag-train ng AI models</w:t>
      </w:r>
    </w:p>
    <w:p>
      <w:pPr>
        <w:spacing w:after="60"/>
        <w:ind w:left="340" w:hanging="227"/>
        <w:jc w:val="left"/>
      </w:pPr>
      <w:r>
        <w:rPr>
          <w:color w:val="0504ED"/>
          <w:sz w:val="19"/>
          <w:szCs w:val="19"/>
        </w:rPr>
        <w:t xml:space="preserve">–  </w:t>
      </w:r>
      <w:r>
        <w:rPr>
          <w:color w:val="1A1A2E"/>
          <w:sz w:val="19"/>
          <w:szCs w:val="19"/>
        </w:rPr>
        <w:t xml:space="preserve">Isang data processing agreement ang namamahala kung paano pinoproseso ng Mena ang data para sa iyong klinika</w:t>
      </w:r>
    </w:p>
    <w:p>
      <w:pPr>
        <w:spacing w:after="80" w:before="0"/>
      </w:pPr>
    </w:p>
    <w:p>
      <w:pPr>
        <w:spacing w:after="100" w:before="160"/>
        <w:jc w:val="left"/>
      </w:pPr>
      <w:r>
        <w:rPr>
          <w:b/>
          <w:bCs/>
          <w:color w:val="1A1A2E"/>
          <w:sz w:val="22"/>
          <w:szCs w:val="22"/>
        </w:rPr>
        <w:t xml:space="preserve">Ang iyong pagpili</w:t>
      </w:r>
    </w:p>
    <w:p>
      <w:pPr>
        <w:spacing w:after="100"/>
        <w:jc w:val="left"/>
      </w:pPr>
      <w:r>
        <w:rPr>
          <w:color w:val="1A1A2E"/>
          <w:sz w:val="19"/>
          <w:szCs w:val="19"/>
        </w:rPr>
        <w:t xml:space="preserve">Ang iyong pahintulot ay kusang-loob. Ang pagtanggi ay hindi makakaapekto sa kalidad ng iyong pangangalagang medikal. Ang iyong konsultasyon ay manu-manong idodokumento sa halip. Maaari mong baguhin ang iyong desisyon anumang oras sa pamamagitan ng pagpapaalam sa iyong klinika.</w:t>
      </w:r>
    </w:p>
    <w:p>
      <w:pPr>
        <w:spacing w:after="40" w:before="0"/>
      </w:pPr>
    </w:p>
    <w:p>
      <w:pPr>
        <w:pBdr>
          <w:bottom w:val="single" w:color="0504ED" w:sz="6" w:space="1"/>
        </w:pBdr>
        <w:spacing w:after="160" w:before="40"/>
      </w:pP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Oo</w:t>
      </w:r>
      <w:r>
        <w:rPr>
          <w:color w:val="1A1A2E"/>
          <w:sz w:val="20"/>
          <w:szCs w:val="20"/>
        </w:rPr>
        <w:t xml:space="preserve">, pumapayag ako sa paggamit ng Mena sa aking mga konsultasyon. Naiintindihan ko na ang usapan ay ire-record, ita-transcribe, at gagamitin para sa paggawa ng clinical na dokumentasyon.</w:t>
      </w:r>
    </w:p>
    <w:p>
      <w:pPr>
        <w:spacing w:after="120" w:before="120"/>
        <w:ind w:left="340" w:hanging="340"/>
        <w:jc w:val="left"/>
      </w:pPr>
      <w:r>
        <w:rPr>
          <w:color w:val="1A1A2E"/>
          <w:sz w:val="22"/>
          <w:szCs w:val="22"/>
        </w:rPr>
        <w:t xml:space="preserve">☐  </w:t>
      </w:r>
      <w:r>
        <w:rPr>
          <w:b/>
          <w:bCs/>
          <w:color w:val="1A1A2E"/>
          <w:sz w:val="20"/>
          <w:szCs w:val="20"/>
        </w:rPr>
        <w:t xml:space="preserve">Hindi</w:t>
      </w:r>
      <w:r>
        <w:rPr>
          <w:color w:val="1A1A2E"/>
          <w:sz w:val="20"/>
          <w:szCs w:val="20"/>
        </w:rPr>
        <w:t xml:space="preserve">, hindi ako pumapayag. Nais kong ang aking mga konsultasyon ay idokumento nang walang Mena.</w:t>
      </w:r>
    </w:p>
    <w:p>
      <w:pPr>
        <w:spacing w:after="200" w:before="0"/>
      </w:pPr>
    </w:p>
    <w:tbl>
      <w:tblPr>
        <w:tblW w:type="dxa" w:w="964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5800"/>
        <w:gridCol w:w="400"/>
        <w:gridCol w:w="3440"/>
      </w:tblGrid>
      <w:tr>
        <w:tc>
          <w:tcPr>
            <w:tcW w:type="dxa" w:w="58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Pangalan:  </w:t>
            </w:r>
            <w:r>
              <w:rPr>
                <w:color w:val="8888AA"/>
                <w:sz w:val="19"/>
                <w:szCs w:val="19"/>
              </w:rPr>
              <w:t xml:space="preserve">____________________________________________</w:t>
            </w:r>
          </w:p>
        </w:tc>
        <w:tc>
          <w:tcPr>
            <w:tcW w:type="dxa" w:w="40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44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100"/>
            </w:pPr>
            <w:r>
              <w:rPr>
                <w:b/>
                <w:bCs/>
                <w:color w:val="444466"/>
                <w:sz w:val="19"/>
                <w:szCs w:val="19"/>
              </w:rPr>
              <w:t xml:space="preserve">Petsa:  </w:t>
            </w:r>
            <w:r>
              <w:rPr>
                <w:color w:val="8888AA"/>
                <w:sz w:val="19"/>
                <w:szCs w:val="19"/>
              </w:rPr>
              <w:t xml:space="preserve">________________________</w:t>
            </w:r>
          </w:p>
        </w:tc>
      </w:tr>
    </w:tbl>
    <w:p>
      <w:pPr>
        <w:spacing w:after="60" w:before="0"/>
      </w:pPr>
    </w:p>
    <w:p>
      <w:pPr>
        <w:spacing w:after="100" w:before="100"/>
      </w:pPr>
      <w:r>
        <w:rPr>
          <w:b/>
          <w:bCs/>
          <w:color w:val="444466"/>
          <w:sz w:val="19"/>
          <w:szCs w:val="19"/>
        </w:rPr>
        <w:t xml:space="preserve">Lagda:  </w:t>
      </w:r>
      <w:r>
        <w:rPr>
          <w:color w:val="8888AA"/>
          <w:sz w:val="19"/>
          <w:szCs w:val="19"/>
        </w:rPr>
        <w:t xml:space="preserve">________________________________________________________________________</w:t>
      </w:r>
    </w:p>
    <w:p>
      <w:pPr>
        <w:spacing w:after="200" w:before="0"/>
      </w:pPr>
    </w:p>
    <w:p>
      <w:pPr>
        <w:pBdr>
          <w:bottom w:val="single" w:color="CCCCCC" w:sz="4" w:space="1"/>
        </w:pBdr>
        <w:spacing w:after="20" w:before="20"/>
      </w:pPr>
    </w:p>
    <w:p>
      <w:pPr>
        <w:spacing w:after="20" w:before="0"/>
      </w:pPr>
    </w:p>
    <w:p>
      <w:pPr>
        <w:spacing w:after="0"/>
        <w:jc w:val="center"/>
      </w:pPr>
      <w:r>
        <w:rPr>
          <w:color w:val="8888AA"/>
          <w:sz w:val="16"/>
          <w:szCs w:val="16"/>
        </w:rPr>
        <w:t xml:space="preserve">Mena Health GmbH  ·  Baarerstrasse 25, 6300 Zug, Switzerland  ·  menahealth.com</w:t>
      </w:r>
    </w:p>
    <w:sectPr>
      <w:pgSz w:w="12240" w:h="15840" w:orient="portrait"/>
      <w:pgMar w:top="1100" w:right="1300" w:bottom="9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A1A2E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2026-08-10T12:55:34.394Z</dcterms:created>
  <dcterms:modified xsi:type="dcterms:W3CDTF">2026-08-10T12:55:34.394Z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